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6"/>
      </w:tblGrid>
      <w:tr w:rsidR="00CA36A8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6A8" w:rsidRDefault="007F607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CA36A8" w:rsidRDefault="007F60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123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222"/>
        <w:gridCol w:w="1500"/>
        <w:gridCol w:w="2461"/>
      </w:tblGrid>
      <w:tr w:rsidR="00CA36A8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CA36A8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0503160</w:t>
            </w:r>
          </w:p>
        </w:tc>
      </w:tr>
      <w:tr w:rsidR="00CA36A8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января 2026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01.01.2026</w:t>
            </w:r>
          </w:p>
        </w:tc>
      </w:tr>
      <w:tr w:rsidR="00CA36A8">
        <w:trPr>
          <w:trHeight w:val="30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распорядитель, распорядитель,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субъекта бюджетной отчетности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получатель бюджетных средств, главный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администратор,   </w:t>
            </w:r>
            <w:proofErr w:type="gramEnd"/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</w:tr>
      <w:tr w:rsidR="00CA36A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доходов бюджета,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72251699</w:t>
            </w:r>
          </w:p>
        </w:tc>
      </w:tr>
      <w:tr w:rsidR="00CA36A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администратор, администратор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</w:tr>
      <w:tr w:rsidR="00CA36A8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администратор источников финансирования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0"/>
              </w:rPr>
            </w:pPr>
          </w:p>
        </w:tc>
      </w:tr>
      <w:tr w:rsidR="00CA36A8"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дефицита бюджета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Контрольно-счетная палата города Новосибирска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  </w:t>
            </w:r>
          </w:p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по БК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820</w:t>
            </w:r>
          </w:p>
        </w:tc>
      </w:tr>
      <w:tr w:rsidR="00CA36A8">
        <w:trPr>
          <w:trHeight w:val="28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бюджета 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21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(публично-правового образования)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Бюджет городских округов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A36A8" w:rsidRDefault="007F6073">
            <w:pPr>
              <w:spacing w:line="21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   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210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ОКТМО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50701000</w:t>
            </w:r>
          </w:p>
        </w:tc>
      </w:tr>
      <w:tr w:rsidR="00CA36A8">
        <w:trPr>
          <w:trHeight w:val="31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месячная, квартальная, годовая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 по ОКЕИ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CA36A8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46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</w:tbl>
    <w:p w:rsidR="00CA36A8" w:rsidRDefault="00CA36A8">
      <w:pPr>
        <w:spacing w:before="240" w:after="240"/>
        <w:rPr>
          <w:color w:val="000000"/>
        </w:rPr>
      </w:pPr>
      <w:bookmarkStart w:id="0" w:name="_GoBack"/>
      <w:bookmarkEnd w:id="0"/>
    </w:p>
    <w:p w:rsidR="00CA36A8" w:rsidRDefault="007F6073">
      <w:pPr>
        <w:spacing w:after="120"/>
        <w:ind w:left="920"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Организационная структура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Контрольно-счетная палата города Новосибирска является постоянно действующим органом внешнего муниципального финансового контроля города Новосибирска.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Палата в своей деятельности руководствуется Конституцией Российской Федерации, законами и иными нормативн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правовыми актами Российской Федерации, Уставом города Новосибирска, решениями Совета депутатов города Новосибирска, постановлениями, распоряжениями мэра города Новосибирска.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Палата осуществляет свою деятельность на основании Положения «О контрольно-сче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 палате города Новосибирска».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Контрольно-счетная палата города Новосибирска образована для контроля: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 над исполнением бюджета города Новосибирска;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соблюдением установленного порядка подготовки и рассмотрения проекта бюджета города и отчета о его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полнении;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- соблюдением установленного порядка управления и распоряжения имуществом, находящегося в муниципальной собственности города Новосибирска и др.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нахождения палаты (юридический адрес): 630091, г. Новосибирск, ул. Романова, д.33.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контрольно-счетной палаты города Новосибирска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Шилохвостов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Геннадий Иванович.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КСП г. Новосибирска является главным распорядителем бюджетных средств, главным администратором доходов бюджета и не имеет подведомственных бюджетных и автономных учреждений и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учателей бюджетных средств.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КСП г. Новосибирска бухгалтерский учет ведется штатным работником - инспектором, в соответствии с должностной инструкцией.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after="120"/>
        <w:ind w:left="840" w:hanging="2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 Результаты деятельности                                                 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принимаемых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 по эффективному расходованию бюджетных средств достигнуты следующие результаты: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отсутствие кредиторской задолженности сверх лимитов бюджетных обязательств;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снижение расходов на мобильную связь за счет перехода на более экономичные тарифные планы;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результат исполнения бюджета соответствует нормативу и составляет 99,54%.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Председателем палаты был утвержден план проверок КСП г. Новосибирска на 2025 год, который выполнен полностью.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Штатная численность палаты утверждена в количестве 36 единиц.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оду 12 сотрудников палаты повысили свою квалификацию на курсах повышения квалификации. На указанные мероприятия было потрачено 193 000,00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целях исполнения функций палаты, на приобретение товаров работ и услуг в 2025 году было затрачено 1 487 305,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41 рублей (по КВР 244). В состав расходов вошли расходы на: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услуги связи – 19 613,56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работы, услуги по содержанию имущества (заправка картриджей, обслуживание принтеров, диагностика оборудования) – 101 400,00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прочие работы,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(обслуживание программ 1С, Гранд-смета, Находка КСО, обслуживание корпоративной информационной системы, подписка на периодические издания и электронный журнал, диспансеризация муниципальных служащих, повышение квалификации) – 937 755,00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материальных ценностей (основные средства и материальные запасы) – 428 536,85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2025 году было приобретено основных средств на общую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304 469,00 рублей, это значительно меньше аналогичных расходов 2024 года (в 10 раз)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обусловленно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в 2024 году рабочих мест мебелью, оборудованием в связи со сменой места расположения палаты. Целью указанных расходов в 2025 году являлось обновление устаревшей компьютерной техники и мебели.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приобретение материальных запасов в 2025 году израсходо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124 067,85 рублей, с целью обеспечения работников палаты канцелярскими принадлежностями, бумагой, хозяйственными товарами, медицинской аптечкой для оказания первой помощи.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состоянию на 01.01.2026 на балансовом учете числятся основные средства 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умму 7 760 813,28 рублей, в том числе: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субсчете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101.34 «Машины и оборудование» - 4 910 186,09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субсчете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101.36 «Производственный и хозяйственный инвентарь- иное движимое имущество» - 2 850 627,19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Балансовая стоимость основных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 по состоянию на 01.01.2026 года меньше аналогичного показателя по состоянию на 01.01.2025 года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76 102,00 рубля (на 0,97 %).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Остаточная стоимость основных средств по состоянию на 01.01.2026 года составила 147 426,18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 основные средства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сятся к категории движимого имущества. Их техническое состояние считается удовлетворительным для работы КСП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г. Новосибирска. Количество и состав основных фондов соответствует требованиям необходимым для работы палаты.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Обеспеченность КСП г. Новосибирска мат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ериальными запасами считается достаточной и своевременной для эффективной ее работы.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after="120"/>
        <w:ind w:left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Анализ отчета об исполнении бюджета: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3 «Исполнение текстовых статей закона (решения) о бюджете» содержит в себе результаты исполнения текстовых статей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Совета депутатов г. Новосибирска от 23.12.2024 № 851 (ред. от 23.12.2025)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 бюджете города Новосибирска на 2025 год и плановый период 2026 и 20267 годов». Согласно п. 26, 27 указанного решения бюджетные обязательства в 2025 году принимались исключительн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 пределах выделенных лимитов бюджетных обязательств, оплата за оказанные услуги, выполненные работы и приобретенные товары производилась по факту их оказания, выполнения и поставки, за исключением допустимых.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2025 года произошло изменение в бю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джетной смете КСП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г. Новосибирска, Решением Совета депутатов г. Новосибирска от 23.12.2025 № 79 «О внесении изменений в решение Совета депутатов города Новосибирска от 23.12.2024 № 851 «О бюджете города Новосибирска на 2025 год и плановый период 2026 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 годов» произведено уменьшение бюджетной росписи КСП г. Новосибирска на сумму 7 000,00 рублей,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со сложившейся экономией по повышению квалификации.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0503164 «Сведения об исполнении бюджета»: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разделу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 утверждены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прогнозные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по доходам в сумме 20 000,00 рублей, исполнение составило 20 000,00 рублей, что составляет 100 % от прогнозных назначений.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разделу 2 формы утверждены лимиты бюджетных обязательств в сумме 85 554 300,00 рублей с учетом изменений, вносимы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выше указанными решениями Совета депутатов города Новосибирска.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составило 85 159 841,93 рублей. Сумма неисполненных лимитов – 394 458,07 рублей. Процент исполнения бюджетной сметы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2025 году превышает установленный минимальный предел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составляет 99,54%.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причинами неисполнения является превышение предельной величины базы для начисления страховых взносов и фактическое использование средств, направляемых на выплаты пособий по больничным листам за счет средств работодателя, а 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отмена запланированной командировки и экономия по услугам связи.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Согласно форме 0503128 «Отчет о бюджетных обязательствах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Палатой, в 2025 году, были приняты бюджетные обязательства в сумме 85 177 934,26 рублей, что составляет 99,6% от лимитов бюджетны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обязательств. Денежные обязательства приняты в сумме 85 159 841,93 рублей, что составляет 99,98% от принятых бюджетных обязательств, исполнение денежных обязательств составляет 100%.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приняты обязательства финансовых годов, следующих за текущи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(отчетным) финансовым годом в сумме 4 349 989,31 рублей, в том числе по заключенным муниципальным контрактам (услуги связи, обслуживание программ 1С, КИС, заправка картриджей), за счет лимитов 2026 года в сумме 352 848,00 рублей, по резервам предстоящих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расходов в сумме 3 997 141,31 рублей, в том числе по оплате отпускных и страховых взносов, в сумме 3 995 977,10 рублей, по оплате услуг связи за декабрь 2025 года в сумме 1 164,21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Бюджетных и денежных обязательств сверх утвержденных лимитов не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ималось. </w:t>
      </w:r>
    </w:p>
    <w:p w:rsidR="00CA36A8" w:rsidRDefault="007F6073">
      <w:pPr>
        <w:spacing w:before="240" w:after="240"/>
        <w:ind w:left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Анализ показателей бухгалтерской отчетности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строке 160 формы 0503130 остаток на счете 1 401.50 «Расходы будущих периодов» составил 68 700,34 рублей. В течение года по счету произведены следующие операции: 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счета на 68 700,34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в связи с приобретением прав пользования программным обеспечением со сроком использования менее 12 месяцев (справочная система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ГосФинансы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право на использование баз данных «Индексы цен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ГрандСмета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право использования базы данных Журнал «Реви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зии и проверки финансово-хозяйственной деятельности»);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уменьшение счета на 64 897,04 рублей в связи с отнесением на расходы прав пользования программным обеспечением в отчетном году (справочная система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ГосФинансы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право на использование баз данных «Индек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 цен 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ГрандСмета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право использования базы данных Журнал «Ревизии и проверки финансово-хозяйственной деятельности»).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Информация по показателям «Расходы по операциям с активами» (строка 250 форма 0503121- 462 575,38 рублей):</w:t>
      </w:r>
    </w:p>
    <w:p w:rsidR="00CA36A8" w:rsidRDefault="007F6073">
      <w:pPr>
        <w:spacing w:before="240" w:after="240"/>
        <w:ind w:firstLine="5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990"/>
        <w:gridCol w:w="1980"/>
        <w:gridCol w:w="1548"/>
        <w:gridCol w:w="2815"/>
      </w:tblGrid>
      <w:tr w:rsidR="00CA36A8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Корреспондирующий счет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Код по КОСГУ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КБК счета 0 401 00 000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Сумма в рублях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Содержание проведенной операции</w:t>
            </w:r>
          </w:p>
        </w:tc>
      </w:tr>
      <w:tr w:rsidR="00CA36A8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1 101 34 410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01060000000000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7 269,00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Списание при вводе в эксплуатацию</w:t>
            </w:r>
          </w:p>
        </w:tc>
      </w:tr>
      <w:tr w:rsidR="00CA36A8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1 104 34 411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01060000000000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299 254,24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Начисление амортизации</w:t>
            </w:r>
          </w:p>
        </w:tc>
      </w:tr>
      <w:tr w:rsidR="00CA36A8"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1 104 36 411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01060000000000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42 322,04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Начисление амортизации</w:t>
            </w:r>
          </w:p>
        </w:tc>
      </w:tr>
      <w:tr w:rsidR="00CA36A8">
        <w:trPr>
          <w:trHeight w:val="50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КОСГУ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348 845,28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36A8">
        <w:trPr>
          <w:trHeight w:val="50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1 105 36 446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01060000000000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113 730,10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Списание материальных запасов по фактическому потреблению</w:t>
            </w:r>
          </w:p>
        </w:tc>
      </w:tr>
      <w:tr w:rsidR="00CA36A8">
        <w:trPr>
          <w:trHeight w:val="50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ИТОГО </w:t>
            </w:r>
          </w:p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КОСГУ 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113 730,10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CA36A8" w:rsidRDefault="007F6073">
            <w:pPr>
              <w:spacing w:before="240" w:after="240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A36A8" w:rsidRDefault="007F6073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ind w:firstLine="54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Согласно данным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0503168 «Сведения о движении нефинансовых активов» в 2025 году поступило основных средств на сумму 304 469,00 рублей, в том числе машины и оборудование – 265 269,00 рублей, производственный и хозяйственный инвентарь – 39 200,00 рублей.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Выбыло основных 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 на сумму 380 571,00 рублей.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 строке 054 «Амортизация машин и оборудования» формы 0503168 показатель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63 567,76 рублей состоит: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 из начисленной 100% амортизации при вводе в эксплуатацию приобретенных объектов, стоимостью от 10,0 до 100,0 тыс.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 – 299 254,24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из оборотов по счету 1.104.34.411 в корреспонденции с счетом 1.101.34.410 при списании балансовой стоимости инвентарных объектов, не признанных активами в ходе проведения инвентаризации,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362 822,00 рублей.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конец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отчетного года балансовая стоимость основных средств составила 7 760 813,28 рублей (уменьшение на 0,97%), остаточная стоимость – 147 426,18 рублей (уменьшение на 23,1%).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строке 110 «Нематериальные активы» отражена стоимость нематериальных актив (веб-сай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КСП), право исключительного пользования принадлежит палате.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данным формы 0503168 поступило материальных запасов на сумму 124 067,85 рублей, списано на нужды палаты с учетом остатка на начало отчетного периода – 113 730,10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счете 1.111.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6I на отчетную дату числятся права пользования на программы по балансовой стоимости на сумму 329 480,00 рублей. Увеличение составило 28 800,00 рублей в связи с приобретением неисключительных прав на программное обеспечение. Уменьшение за отчетный период 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ставило 40 882,00 рублей, списаны неисключительные права пользования на программное обеспечение.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строке «Амортизация прав пользования программным обеспечением и базами данных» формы 0503168 показатель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12 082,00 рублей состоит: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 из начисленной 100% 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ортизации при вводе в эксплуатацию прав пользования – 28 800,00 рублей;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из оборотов по счету 1.104.6I.452 в корреспонденции с счетом 1.111. 6I.452 при списании балансовой стоимости прав пользования на программное обеспечение с определенным сроком, не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знанных активами в ходе проведения инвентаризации, в сумме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40 882,00 рублей.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счете 01 «Имущество, полученное в пользование» числится помещение, полученное в пользование по договору безвозмездного пользования недвижимым имуществом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казны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ДЗиИО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мэрии по адресу ул. Романова, 33 в сумме 28 111 242,89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счете 02 «Материальные ценности на хранении» на 01.01.2026 отражено 14 объектов по стоимости 1 рубль каждый. Данные объекты по результатам проведения инвента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ризации комиссией по поступлению и выбытию нефинансовых активов не признаны активами и в соответствии с п. 10 Инструкции 157н числятся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забалансовом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учете до момента утилизации.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данным формы 0503169 «Сведения о дебиторской и кредиторской задолже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нности» дебиторская задолженность по состоянию на 01.01.2026 составила 25 935,00 рублей, что на 9,3% больше предыдущего отчетного периода, полностью состоит дебиторской задолженности по счету 1 206.26 - подписка на поставку периодических изданий в 2026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у. Увеличение обусловлено повышением стоимости подписки на печатные издания.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Дебиторская задолженность по состоянию на 01.01.2026 является текущей.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Кредиторская задолженность по состоянию на 01.01.2026 (текущая и просроченная) в КСП г. Новосибирска отсутс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твует.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КСП г. Новосибирска, согласно пункту 302.1 приказа Минфина РФ от 01.12.2010 № 157н и правилам учетной политики палаты на счете 1 401 60 «Резервы предстоящих расходов» начислен резерв по неиспользуемым очередным отпускам по состоянию на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года, включая расходы на обязательное социальное страхование, начислен резерв предстоящих расходов по оплате услуг связи за декабрь 2025 года (планируемый срок оплаты услуг связи согласно условиям контракта и документа о приемке оказанных услуг – январь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2026 года). Сумма начисленного резерва на 2026 год составляет 3 997 141,31 рублей, в том числе по статье 211 – 3 079 054,18 рублей, по статье 213 – 916 922,92 рублей, по статье 221 – 1 164,21 рублей.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сумму резерва по неиспользуемым очередным отпускам,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слугам связи приняты отложенные обязательства за пределами планового периода по счету 1 502.99, что отражено в 3 разделе формы 0503128 «Отчет о принятых бюджетных обязательствах».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Согласно данным формы 0503169 «Сведения о дебиторской и кредиторской задолже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нности»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отчетный период исчислены налоги и взносы в составе ЕНП, перечисление произведено в полном объеме. В установленные сроки направлены уведомления об исчисленных суммах налогов, страховых взносов в целях распределения сумм ЕНП по принадлежности.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основании справок о принадлежности платежей отражены операции по зачету сумм в счет уплаты налогов и страховых взносов.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данным формы 0503123 «Отчет о движении денежных средств» по строкам 5010, 5020 отражены обороты денежных средств,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части оборотов уточнения невыясненных поступлений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>9 927,00 рублей.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данным формы 0503110 «Справка по заключению счетов бюджетного учета отчетного финансового года» по счету 1.401.20.226 отражено списание права пользования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печением на сумму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5 200,00 рублей.  По итогам проведения инвентаризации установлено, что программа «Док Партнер» с неопределенным сроком использования морально устарела и не может использоваться в деятельности. На основании решения комиссии проведена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ассификация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принято решение о списании права пользования программным обеспечением с учета.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остатков валюты баланса на начало года не было.</w:t>
      </w:r>
    </w:p>
    <w:p w:rsidR="00CA36A8" w:rsidRDefault="007F6073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Показатели бюджетной отчетности сформированы в соответствии с требованиями Инструкций 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191н, 157н, 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2н, положениями Федеральных стандартов 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256н, 260н, 257н, 274н, 275н, 278н, 184н и других действующих нормативно-правовых актов, регулирующих ведение бюджетного учета и составление отчетности. КСП г. Новосибирска применяет федеральные стандарты бухгалте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рского учета и отчетности в соответствии с требованиями законодательства Российской Федерации. Отклонений и исключений в применении федеральных стандартов не имеется. За отчетный период изменений в применении федеральных стандартов не произошло.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        </w:t>
      </w:r>
    </w:p>
    <w:p w:rsidR="00CA36A8" w:rsidRDefault="007F6073">
      <w:pPr>
        <w:spacing w:before="240" w:after="12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 Прочие вопросы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учетной политике КСП г. Новосибирска отражены следующие особенности учета: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По учету основных средств: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первоначальной стоимост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производится по сумме фактически произведенных капитальных вложений;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справедливая стоимость для различных видов активов и обязательств определяется методом рыночных цен;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срок полезного использования определяется исходя из рекомендаций, содержащихся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документах производителя, входящих в комплектацию объекта имущества, и (или) на основании решения комиссии субъекта учета по поступлению и выбытию активов;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оценка учета материальных ценностей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забалансовых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счетах производится в условной оценке один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ъект, один рубль, при наличии информации о стоимости - по первоначальной стоимости.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Амортизация начисляется линейным методом.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Выбытие материальных запасов производится по фактической стоимости каждой единицы.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Начисления сумм резерва за неиспользованн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дни очередных отпусков, остающихся по состоянию на 01.01 года, следующего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отчетным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производятся исходя из количества неиспользованных дней отпуска и среднедневного заработка сотрудника, рассчитанного за отчетный год. 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Решением о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едении инвентаризации утвержденным председателем КСП г. Новосибирска от 27.11.2025 № 2, перед составлением годовой отчетности проведена годовая инвентаризация, по итогам которой расхождений не установлено.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отсутствием показателей и числовых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значений при составлении годового отчета за 2025 год не предоставлены следующие формы:</w:t>
      </w:r>
    </w:p>
    <w:p w:rsidR="00CA36A8" w:rsidRDefault="007F6073">
      <w:pPr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№ 0503125 «Справка по консолидируемым расчетам»;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№ 0503171 «Сведения о финансовых вложениях получателя бюджетных средств, администратора источников финансирования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фицита бюджета» - финансовые вложения отсутствуют;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№ 0503173 «Сведения об изменении остатков валюты баланса»;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 № 0503174 «Сведения о доходах бюджета от перечисления части прибыли (дивидендов) государственных (муниципальных) унитарных предприятий, иных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рганизаций с государственным участием в капитале» - нет подведомственных унитарных предприятий;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№ 0503175 «Сведения о принятых и неисполненных обязательствах получателя бюджетных средств»;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№ 0503178 «Сведения об остатках денежных средств на счетах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чателя бюджетных средств» - отсутствуют остатки денежных средств на счетах палаты;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№ 0503190 «Сведения о вложениях в объекты недвижимого имущества, объектах незавершенного строительства» - в палате отсутствует незавершенное строительство;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№ 0503296 «Св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едения об исполнении судебных решений по денежным обязательствам бюджета» - в палате отсутствуют судебные решения по денежным обязательствам.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14 «Анализ показателей отчетности субъекта бюджетной отчетности».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15 «Причины увеличения просрочен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задолженности».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70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палаты                                                           Г.И.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Шилохвостов</w:t>
      </w:r>
      <w:proofErr w:type="spellEnd"/>
    </w:p>
    <w:p w:rsidR="00CA36A8" w:rsidRDefault="007F6073">
      <w:pPr>
        <w:spacing w:before="240" w:after="240"/>
        <w:ind w:firstLine="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6A8" w:rsidRDefault="007F6073">
      <w:pPr>
        <w:spacing w:before="240" w:after="240"/>
        <w:ind w:firstLine="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Инспектор                                                                             Т.Н. Гусакова</w:t>
      </w:r>
    </w:p>
    <w:p w:rsidR="00CA36A8" w:rsidRDefault="007F6073">
      <w:r>
        <w:t> </w:t>
      </w:r>
    </w:p>
    <w:p w:rsidR="00CA36A8" w:rsidRDefault="007F6073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8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9"/>
        <w:gridCol w:w="4029"/>
        <w:gridCol w:w="2392"/>
      </w:tblGrid>
      <w:tr w:rsidR="00CA36A8"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Шилохвостов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Геннадий Иванович</w:t>
            </w:r>
          </w:p>
        </w:tc>
      </w:tr>
      <w:tr w:rsidR="00CA36A8">
        <w:trPr>
          <w:trHeight w:val="280"/>
        </w:trPr>
        <w:tc>
          <w:tcPr>
            <w:tcW w:w="3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A36A8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A36A8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Гусакова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Николавна</w:t>
            </w:r>
            <w:proofErr w:type="spellEnd"/>
          </w:p>
        </w:tc>
      </w:tr>
      <w:tr w:rsidR="00CA36A8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A36A8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  <w:tr w:rsidR="00CA36A8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9525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Гусакова Татьяна Николаевна</w:t>
            </w:r>
          </w:p>
        </w:tc>
      </w:tr>
      <w:tr w:rsidR="00CA36A8">
        <w:trPr>
          <w:trHeight w:val="281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A36A8">
        <w:trPr>
          <w:trHeight w:val="449"/>
        </w:trPr>
        <w:tc>
          <w:tcPr>
            <w:tcW w:w="3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7F607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"____" 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 20____г.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CA36A8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A36A8" w:rsidRDefault="00CA36A8">
            <w:pPr>
              <w:rPr>
                <w:sz w:val="24"/>
              </w:rPr>
            </w:pPr>
          </w:p>
        </w:tc>
      </w:tr>
    </w:tbl>
    <w:p w:rsidR="00CA36A8" w:rsidRDefault="007F6073">
      <w:r>
        <w:rPr>
          <w:rFonts w:ascii="Times New Roman" w:eastAsia="Times New Roman" w:hAnsi="Times New Roman" w:cs="Times New Roman"/>
          <w:sz w:val="24"/>
          <w:szCs w:val="24"/>
        </w:rPr>
        <w:t>Документ подписан электронной подписью. Дата представления 21.01.2026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финансово-экономической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службы(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Гусакова Татьяна Николаевна, Сертификат: 00D388DE9BC512763DF508175EDCC0BA43, Действителен: с 13.11.2025 по 06.02.2027),Главный бухгалтер(Гусакова Татьяна Николаевна, Сертификат: 00D388DE9BC512763DF508175EDCC0BA43</w:t>
      </w:r>
      <w:r>
        <w:rPr>
          <w:rFonts w:ascii="Times New Roman" w:eastAsia="Times New Roman" w:hAnsi="Times New Roman" w:cs="Times New Roman"/>
          <w:sz w:val="24"/>
          <w:szCs w:val="24"/>
        </w:rPr>
        <w:t>, Действителен: с 13.11.2025 по 06.02.2027),Руководитель(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Шилохвостов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Геннадий Иванович, Сертификат: 3392233686441C37CCB16E58CC4B1BCB, Действителен: с 30.06.2025 по 23.09.2026)        </w:t>
      </w:r>
    </w:p>
    <w:sectPr w:rsidR="00CA36A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A8"/>
    <w:rsid w:val="007F6073"/>
    <w:rsid w:val="00C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1D390-03AC-47C6-A651-2EBDA9A3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Гусакова Татьяна Николаевна</dc:creator>
  <cp:lastModifiedBy>Гусакова Татьяна Николаевна</cp:lastModifiedBy>
  <cp:revision>2</cp:revision>
  <dcterms:created xsi:type="dcterms:W3CDTF">2026-05-05T05:24:00Z</dcterms:created>
  <dcterms:modified xsi:type="dcterms:W3CDTF">2026-05-05T05:24:00Z</dcterms:modified>
</cp:coreProperties>
</file>